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0087CA"/>
          </w:tcPr>
          <w:p>
            <w:pPr>
              <w:spacing w:before="800" w:after="0"/>
            </w:pPr>
            <w:r>
              <w:rPr>
                <w:rFonts w:ascii="Arial" w:hAnsi="Arial"/>
                <w:b/>
                <w:i w:val="0"/>
                <w:color w:val="FFFFFF"/>
                <w:sz w:val="92"/>
              </w:rPr>
              <w:t>Graha</w:t>
            </w:r>
          </w:p>
          <w:p>
            <w:pPr>
              <w:spacing w:after="200" w:before="0"/>
            </w:pPr>
            <w:r>
              <w:rPr>
                <w:rFonts w:ascii="Arial" w:hAnsi="Arial"/>
                <w:b/>
                <w:i w:val="0"/>
                <w:color w:val="FFFFFF"/>
                <w:sz w:val="92"/>
              </w:rPr>
              <w:t>Research</w:t>
            </w:r>
          </w:p>
          <w:p>
            <w:pPr>
              <w:spacing w:after="280" w:before="0"/>
            </w:pPr>
            <w:r>
              <w:rPr>
                <w:rFonts w:ascii="Arial" w:hAnsi="Arial"/>
                <w:b w:val="0"/>
                <w:i w:val="0"/>
                <w:color w:val="CDE9F7"/>
                <w:sz w:val="22"/>
              </w:rPr>
              <w:t>Research Internship  ·  18-Week Gantt Project Plan</w:t>
            </w:r>
          </w:p>
          <w:p>
            <w:pPr>
              <w:spacing w:after="400" w:before="0"/>
            </w:pPr>
            <w:r>
              <w:rPr>
                <w:rFonts w:ascii="Arial" w:hAnsi="Arial"/>
                <w:b/>
                <w:i w:val="0"/>
                <w:color w:val="FFFFFF"/>
                <w:sz w:val="32"/>
              </w:rPr>
              <w:t>ESG Platform with GraphRAG</w:t>
            </w:r>
          </w:p>
          <w:p>
            <w:pPr>
              <w:spacing w:after="360" w:before="0" w:line="312" w:lineRule="auto"/>
            </w:pPr>
            <w:r>
              <w:rPr>
                <w:rFonts w:ascii="Arial" w:hAnsi="Arial"/>
                <w:b w:val="0"/>
                <w:i w:val="0"/>
                <w:color w:val="FFFFFF"/>
                <w:sz w:val="21"/>
              </w:rPr>
              <w:t>Build an Environmental, Social and Governance (ESG) analytics platform that uses a Knowledge Graph and Retrieval-Augmented Generation (GraphRAG) to turn fragmented sustainability data into explainable, auditable ESG insights.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18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Weeks</w:t>
            </w:r>
            <w:r>
              <w:rPr>
                <w:rFonts w:ascii="Arial" w:hAnsi="Arial"/>
                <w:b w:val="0"/>
                <w:i w:val="0"/>
                <w:color w:val="FFFFFF"/>
                <w:sz w:val="44"/>
              </w:rPr>
              <w:t xml:space="preserve">      </w:t>
            </w: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6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Planning Clusters</w:t>
            </w:r>
            <w:r>
              <w:rPr>
                <w:rFonts w:ascii="Arial" w:hAnsi="Arial"/>
                <w:b w:val="0"/>
                <w:i w:val="0"/>
                <w:color w:val="FFFFFF"/>
                <w:sz w:val="44"/>
              </w:rPr>
              <w:t xml:space="preserve">      </w:t>
            </w:r>
            <w:r>
              <w:rPr>
                <w:rFonts w:ascii="Arial" w:hAnsi="Arial"/>
                <w:b/>
                <w:i w:val="0"/>
                <w:color w:val="FFFFFF"/>
                <w:sz w:val="44"/>
              </w:rPr>
              <w:t xml:space="preserve">1 </w:t>
            </w:r>
            <w:r>
              <w:rPr>
                <w:rFonts w:ascii="Arial" w:hAnsi="Arial"/>
                <w:b w:val="0"/>
                <w:i w:val="0"/>
                <w:color w:val="CDE9F7"/>
                <w:sz w:val="20"/>
              </w:rPr>
              <w:t>Thesis / Collaboration</w:t>
            </w:r>
          </w:p>
          <w:p>
            <w:pPr>
              <w:spacing w:after="800" w:before="480"/>
            </w:pPr>
            <w:r>
              <w:rPr>
                <w:rFonts w:ascii="Arial" w:hAnsi="Arial"/>
                <w:b w:val="0"/>
                <w:i w:val="0"/>
                <w:color w:val="CDE9F7"/>
                <w:sz w:val="17"/>
              </w:rPr>
              <w:t>Graha International GmbH  ·  Herzogstandstr. 8 b, 85540 Haar, Germany  ·  info@graha.de</w:t>
            </w:r>
          </w:p>
        </w:tc>
      </w:tr>
    </w:tbl>
    <w:p>
      <w:pPr>
        <w:spacing w:after="0"/>
      </w:pPr>
      <w:r>
        <w:br w:type="page"/>
      </w:r>
    </w:p>
    <w:p>
      <w:pPr>
        <w:spacing w:after="40" w:before="0"/>
      </w:pPr>
      <w:r>
        <w:rPr>
          <w:rFonts w:ascii="Arial" w:hAnsi="Arial"/>
          <w:b/>
          <w:i w:val="0"/>
          <w:color w:val="414142"/>
          <w:sz w:val="52"/>
        </w:rPr>
        <w:t>Research Internship</w:t>
      </w:r>
    </w:p>
    <w:p>
      <w:pPr>
        <w:spacing w:after="240" w:before="0"/>
      </w:pPr>
      <w:r>
        <w:rPr>
          <w:rFonts w:ascii="Arial" w:hAnsi="Arial"/>
          <w:b w:val="0"/>
          <w:i w:val="0"/>
          <w:color w:val="0087CA"/>
          <w:sz w:val="25"/>
        </w:rPr>
        <w:t>Four 18-week Gantt Project Plans for thesis and research collaboration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Graha International GmbH offers four structured research internships, each delivered as an 18-week Gantt Project Plan organised into six best-practice planning clusters. This document details the internship highlighted below.</w:t>
      </w:r>
    </w:p>
    <w:p>
      <w:pPr>
        <w:spacing w:after="8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642"/>
        <w:gridCol w:w="3642"/>
        <w:gridCol w:w="3642"/>
        <w:gridCol w:w="3642"/>
      </w:tblGrid>
      <w:tr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01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Predictive Maintenance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Design and prototype a predictive-maintenance platform for connected vehicles that combines multivariate time-series modelling, causal AI and explainable remaining-useful-life estimation.</w:t>
            </w:r>
          </w:p>
        </w:tc>
        <w:tc>
          <w:tcPr>
            <w:tcW w:type="dxa" w:w="3643"/>
            <w:shd w:val="clear" w:fill="EAF4FB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0087CA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02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ESG Platform with GraphRAG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Build an Environmental, Social and Governance (ESG) analytics platform that uses a Knowledge Graph and Retrieval-Augmented Generation (GraphRAG) to turn fragmented sustainability data into explainable, auditable ESG insights.</w:t>
            </w:r>
          </w:p>
        </w:tc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03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Digital Product Passport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Implement a Digital Product Passport (DPP) platform for connected-vehicle components that captures lifecycle, material and circularity data in an interoperable, data-sovereign data-space architecture.</w:t>
            </w:r>
          </w:p>
        </w:tc>
        <w:tc>
          <w:tcPr>
            <w:tcW w:type="dxa" w:w="3643"/>
            <w:shd w:val="clear" w:fill="FFFFFF"/>
            <w:tcBorders>
              <w:top w:val="single" w:sz="6" w:color="D6E8F3"/>
              <w:left w:val="single" w:sz="6" w:color="D6E8F3"/>
              <w:bottom w:val="single" w:sz="6" w:color="D6E8F3"/>
              <w:right w:val="single" w:sz="6" w:color="D6E8F3"/>
            </w:tcBorders>
            <w:tcBorders>
              <w:top w:val="single" w:sz="24" w:color="D6E8F3"/>
            </w:tcBorders>
            <w:tcMar>
              <w:top w:w="130" w:type="dxa"/>
              <w:bottom w:w="130" w:type="dxa"/>
              <w:left w:w="150" w:type="dxa"/>
              <w:right w:w="150" w:type="dxa"/>
            </w:tcMar>
          </w:tcPr>
          <w:p>
            <w:pPr>
              <w:spacing w:after="40" w:before="80"/>
            </w:pPr>
            <w:r>
              <w:rPr>
                <w:rFonts w:ascii="Arial" w:hAnsi="Arial"/>
                <w:b/>
                <w:i w:val="0"/>
                <w:color w:val="0087CA"/>
                <w:sz w:val="17"/>
              </w:rPr>
              <w:t>INTERNSHIP 04</w:t>
            </w:r>
          </w:p>
          <w:p>
            <w:pPr>
              <w:spacing w:after="80" w:before="0"/>
            </w:pPr>
            <w:r>
              <w:rPr>
                <w:rFonts w:ascii="Arial" w:hAnsi="Arial"/>
                <w:b/>
                <w:i w:val="0"/>
                <w:color w:val="414142"/>
                <w:sz w:val="23"/>
              </w:rPr>
              <w:t>Digital Twin Platform</w:t>
            </w:r>
          </w:p>
          <w:p>
            <w:pPr>
              <w:spacing w:after="120" w:before="0" w:line="288" w:lineRule="auto"/>
            </w:pPr>
            <w:r>
              <w:rPr>
                <w:rFonts w:ascii="Arial" w:hAnsi="Arial"/>
                <w:b w:val="0"/>
                <w:i w:val="0"/>
                <w:color w:val="414142"/>
                <w:sz w:val="17"/>
              </w:rPr>
              <w:t>Develop a Digital Twin platform that mirrors onboard vehicle systems in real time, fusing sensor telemetry with physics- and data-driven models for simulation, monitoring and what-if analysis.</w:t>
            </w:r>
          </w:p>
        </w:tc>
      </w:tr>
    </w:tbl>
    <w:p>
      <w:pPr>
        <w:spacing w:after="80" w:before="320"/>
      </w:pPr>
      <w:r>
        <w:rPr>
          <w:rFonts w:ascii="Arial" w:hAnsi="Arial"/>
          <w:b/>
          <w:i w:val="0"/>
          <w:color w:val="0087CA"/>
          <w:sz w:val="28"/>
        </w:rPr>
        <w:t>This document, ESG Platform with GraphRAG</w:t>
      </w:r>
    </w:p>
    <w:p>
      <w:pPr>
        <w:spacing w:after="120" w:before="0" w:line="300" w:lineRule="auto"/>
      </w:pPr>
      <w:r>
        <w:rPr>
          <w:rFonts w:ascii="Arial" w:hAnsi="Arial"/>
          <w:b w:val="0"/>
          <w:i/>
          <w:color w:val="5B6B78"/>
          <w:sz w:val="19"/>
        </w:rPr>
        <w:t>Build an Environmental, Social and Governance (ESG) analytics platform that uses a Knowledge Graph and Retrieval-Augmented Generation (GraphRAG) to turn fragmented sustainability data into explainable, auditable ESG insights.</w:t>
      </w:r>
    </w:p>
    <w:p>
      <w:r>
        <w:br w:type="page"/>
      </w:r>
    </w:p>
    <w:p>
      <w:pPr>
        <w:spacing w:after="40" w:before="0"/>
      </w:pPr>
      <w:r>
        <w:rPr>
          <w:rFonts w:ascii="Arial" w:hAnsi="Arial"/>
          <w:b/>
          <w:i w:val="0"/>
          <w:color w:val="414142"/>
          <w:sz w:val="52"/>
        </w:rPr>
        <w:t>Our Research Plan</w:t>
      </w:r>
    </w:p>
    <w:p>
      <w:pPr>
        <w:spacing w:after="240" w:before="0"/>
      </w:pPr>
      <w:r>
        <w:rPr>
          <w:rFonts w:ascii="Arial" w:hAnsi="Arial"/>
          <w:b w:val="0"/>
          <w:i w:val="0"/>
          <w:color w:val="0087CA"/>
          <w:sz w:val="25"/>
        </w:rPr>
        <w:t>ESG Platform with GraphRAG  ·  18-Week Gantt Project Plan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Overview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This internship advances Graha International's research at the intersection of Knowledge Graphs, Large Language Models and sustainability reporting. The intern designs and prototypes an ESG platform in which a domain Knowledge Graph and Retrieval-Augmented Generation (GraphRAG) together transform fragmented Environmental, Social and Governance data into explainable, source-traceable insights.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Structured as an 18-week Gantt Project Plan, the work is suitable as the practical basis for a Bachelor's or Master's thesis or a research collaboration. It emphasises factual grounding, auditability and the reduction of hallucinated claims in generated ESG narratives.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Objectives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Model ESG indicators, entities and relationships in a domain Knowledge Graph.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Build a GraphRAG pipeline that retrieves graph context to ground LLM responses.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Generate explainable ESG summaries with explicit source and evidence traceability.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Reduce hallucinated or unsupported claims compared with standard LLM prompting.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Evaluate factual grounding, retrieval quality and explanation faithfulness.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Candidate Profile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Studies in Computer Science, Data Science, Information Systems or a related field.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Solid Python skills; interest in LLMs, knowledge graphs and information retrieval.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Basic understanding of graph data models and semantic technologies.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Interest in sustainability, ESG reporting and trustworthy AI.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Independent, structured working style and good scientific-writing skills.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18-Week Gantt Project Plan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The plan is organised into six best-practice planning clusters spanning 18 weeks. Each cluster states its focus, key activities and a milestone that must be reached before the next cluster begins.</w:t>
      </w: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1-3  </w:t>
      </w:r>
      <w:r>
        <w:rPr>
          <w:rFonts w:ascii="Arial" w:hAnsi="Arial"/>
          <w:b/>
          <w:i w:val="0"/>
          <w:color w:val="414142"/>
          <w:sz w:val="23"/>
        </w:rPr>
        <w:t xml:space="preserve">   Cluster 1 - Onboarding &amp; Foundations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Settle in, set up the working environment, and agree the detailed plan and success criteria with the academic and industrial supervisors.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Onboarding at Graha International: tooling, data-governance and NDA briefing.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Familiarisation with ESG frameworks, knowledge graphs and GraphRAG concepts.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Set up a reproducible environment: version control, experiment tracking and a containerised workspace.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Refine scope, success criteria and the detailed 18-week work plan with the supervisor.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Approved internship work plan and a running, reproducible development environment.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4-6  </w:t>
      </w:r>
      <w:r>
        <w:rPr>
          <w:rFonts w:ascii="Arial" w:hAnsi="Arial"/>
          <w:b/>
          <w:i w:val="0"/>
          <w:color w:val="414142"/>
          <w:sz w:val="23"/>
        </w:rPr>
        <w:t xml:space="preserve">   Cluster 2 - Literature Review &amp; Requirements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Build the scientific foundation through a structured literature review and a precise requirements and evaluation specification.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Structured literature review on GraphRAG, retrieval-augmented generation and knowledge-graph grounding.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Survey of ESG reporting standards, taxonomies and disclosure frameworks.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Stakeholder and requirements analysis; definition of the core use cases and KPIs.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Draft the conceptual approach and the evaluation methodology with metrics and baselines.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Literature-review report and an agreed requirements and evaluation plan.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7-9  </w:t>
      </w:r>
      <w:r>
        <w:rPr>
          <w:rFonts w:ascii="Arial" w:hAnsi="Arial"/>
          <w:b/>
          <w:i w:val="0"/>
          <w:color w:val="414142"/>
          <w:sz w:val="23"/>
        </w:rPr>
        <w:t xml:space="preserve">   Cluster 3 - Data Engineering &amp; System Architecture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Prepare the ESG data assets and design the end-to-end GraphRAG architecture.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Collect and clean representative ESG documents and structured indicators.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Design the ESG ontology and Knowledge Graph schema (entities, indicators, relations).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Design the GraphRAG architecture: ingestion, graph store, retriever, generator and explanation layers.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Specify the retrieval strategy and the interfaces between components.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Architecture design document and a populated ESG Knowledge Graph.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10-13  </w:t>
      </w:r>
      <w:r>
        <w:rPr>
          <w:rFonts w:ascii="Arial" w:hAnsi="Arial"/>
          <w:b/>
          <w:i w:val="0"/>
          <w:color w:val="414142"/>
          <w:sz w:val="23"/>
        </w:rPr>
        <w:t xml:space="preserve">   Cluster 4 - Implementation &amp; Modelling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Implement the GraphRAG platform and the ESG-insight generation components.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Build the ingestion pipeline that populates and updates the Knowledge Graph.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Implement graph-aware retrieval that assembles evidence subgraphs for each query.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Integrate the LLM generation layer with graph context and source citation.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Build an explainable ESG-summary view with evidence and source traceability.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Working ESG GraphRAG prototype covering the core query-to-insight use case.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14-16  </w:t>
      </w:r>
      <w:r>
        <w:rPr>
          <w:rFonts w:ascii="Arial" w:hAnsi="Arial"/>
          <w:b/>
          <w:i w:val="0"/>
          <w:color w:val="414142"/>
          <w:sz w:val="23"/>
        </w:rPr>
        <w:t xml:space="preserve">   Cluster 5 - Evaluation, Validation &amp; Hardening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Evaluate, validate and harden the prototype with a focus on factual grounding.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Define and run experiments on retrieval quality, factual grounding and explanation faithfulness.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Compare GraphRAG against standard prompting for hallucination and source coverage.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Assess robustness to incomplete data; check reproducibility of results.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Iterate on the graph schema, retrieval and prompting based on the findings.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Evaluation report with quantitative results and a validated, hardened prototype.</w:t>
            </w:r>
          </w:p>
        </w:tc>
      </w:tr>
    </w:tbl>
    <w:p>
      <w:pPr>
        <w:spacing w:after="160" w:before="0"/>
      </w:pPr>
    </w:p>
    <w:p>
      <w:pPr>
        <w:spacing w:after="60" w:before="240"/>
      </w:pPr>
      <w:r>
        <w:rPr>
          <w:rFonts w:ascii="Arial" w:hAnsi="Arial"/>
          <w:b/>
          <w:i w:val="0"/>
          <w:color w:val="FFFFFF"/>
          <w:sz w:val="18"/>
          <w:shd w:val="clear" w:fill="0087CA"/>
        </w:rPr>
        <w:t xml:space="preserve">  WEEKS 17-18  </w:t>
      </w:r>
      <w:r>
        <w:rPr>
          <w:rFonts w:ascii="Arial" w:hAnsi="Arial"/>
          <w:b/>
          <w:i w:val="0"/>
          <w:color w:val="414142"/>
          <w:sz w:val="23"/>
        </w:rPr>
        <w:t xml:space="preserve">   Cluster 6 - Documentation, Thesis &amp; Final Defence</w:t>
      </w:r>
    </w:p>
    <w:p>
      <w:pPr>
        <w:spacing w:after="120" w:before="0" w:line="300" w:lineRule="auto"/>
      </w:pPr>
      <w:r>
        <w:rPr>
          <w:rFonts w:ascii="Arial" w:hAnsi="Arial"/>
          <w:b w:val="0"/>
          <w:i w:val="0"/>
          <w:color w:val="414142"/>
          <w:sz w:val="20"/>
        </w:rPr>
        <w:t>Consolidate the documentation, draft the thesis material and present the results.</w:t>
      </w:r>
    </w:p>
    <w:p>
      <w:pPr>
        <w:spacing w:after="40" w:before="0"/>
      </w:pPr>
      <w:r>
        <w:rPr>
          <w:rFonts w:ascii="Arial" w:hAnsi="Arial"/>
          <w:b/>
          <w:i w:val="0"/>
          <w:color w:val="0087CA"/>
          <w:sz w:val="17"/>
        </w:rPr>
        <w:t>KEY ACTIVITIES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Consolidate code, documentation and reproducibility instructions.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Write the thesis-ready report covering method, results and limitations.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Prepare and deliver the final presentation and a live demo.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Hand over the platform, the Knowledge Graph and the backlog of future work to Graha.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570"/>
      </w:tblGrid>
      <w:tr>
        <w:tc>
          <w:tcPr>
            <w:tcW w:type="dxa" w:w="14570"/>
            <w:shd w:val="clear" w:fill="EAF4FB"/>
            <w:tcBorders>
              <w:left w:val="single" w:sz="24" w:color="0087CA"/>
            </w:tcBorders>
          </w:tcPr>
          <w:p>
            <w:pPr>
              <w:spacing w:before="80" w:after="80"/>
            </w:pPr>
            <w:r>
              <w:rPr>
                <w:rFonts w:ascii="Arial" w:hAnsi="Arial"/>
                <w:b/>
                <w:i w:val="0"/>
                <w:color w:val="0087CA"/>
                <w:sz w:val="19"/>
              </w:rPr>
              <w:t xml:space="preserve">Milestone,  </w:t>
            </w:r>
            <w:r>
              <w:rPr>
                <w:rFonts w:ascii="Arial" w:hAnsi="Arial"/>
                <w:b w:val="0"/>
                <w:i w:val="0"/>
                <w:color w:val="414142"/>
                <w:sz w:val="19"/>
              </w:rPr>
              <w:t>Final thesis-ready report, final presentation and a complete handover package.</w:t>
            </w:r>
          </w:p>
        </w:tc>
      </w:tr>
    </w:tbl>
    <w:p>
      <w:pPr>
        <w:spacing w:after="160" w:before="0"/>
      </w:pP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Expected Outcomes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reproducible, documented ESG GraphRAG platform prototype.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reusable ESG ontology and populated Knowledge Graph.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An evidence-traceable, explainable ESG-insight generator.</w:t>
      </w:r>
    </w:p>
    <w:p>
      <w:pPr>
        <w:pStyle w:val="ListBullet"/>
        <w:spacing w:after="60" w:line="288" w:lineRule="auto"/>
      </w:pPr>
      <w:r>
        <w:rPr>
          <w:rFonts w:ascii="Arial" w:hAnsi="Arial"/>
          <w:b w:val="0"/>
          <w:i w:val="0"/>
          <w:color w:val="414142"/>
          <w:sz w:val="21"/>
        </w:rPr>
        <w:t>A thesis-ready scientific report on factual grounding with GraphRAG.</w:t>
      </w:r>
    </w:p>
    <w:p>
      <w:pPr>
        <w:spacing w:after="120" w:before="300"/>
      </w:pPr>
      <w:r>
        <w:rPr>
          <w:rFonts w:ascii="Arial" w:hAnsi="Arial"/>
          <w:b/>
          <w:i w:val="0"/>
          <w:color w:val="0087CA"/>
          <w:sz w:val="28"/>
        </w:rPr>
        <w:t>Project Timeline (Gantt Chart)</w:t>
      </w:r>
    </w:p>
    <w:p>
      <w:pPr>
        <w:spacing w:after="140" w:before="0" w:line="300" w:lineRule="auto"/>
      </w:pPr>
      <w:r>
        <w:rPr>
          <w:rFonts w:ascii="Arial" w:hAnsi="Arial"/>
          <w:b w:val="0"/>
          <w:i w:val="0"/>
          <w:color w:val="414142"/>
          <w:sz w:val="21"/>
        </w:rPr>
        <w:t>The 18-week plan visualised as a Gantt chart across Week 1 to Week 18.</w:t>
      </w:r>
    </w:p>
    <w:p>
      <w:pPr>
        <w:spacing w:after="120" w:before="0"/>
      </w:pPr>
      <w:r>
        <w:drawing>
          <wp:inline xmlns:a="http://schemas.openxmlformats.org/drawingml/2006/main" xmlns:pic="http://schemas.openxmlformats.org/drawingml/2006/picture">
            <wp:extent cx="9252000" cy="4163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antt-18-weeks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4163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0" w:before="0"/>
      </w:pPr>
    </w:p>
    <w:p>
      <w:pPr>
        <w:spacing w:after="200" w:before="0"/>
        <w:jc w:val="center"/>
      </w:pPr>
      <w:r>
        <w:rPr>
          <w:rFonts w:ascii="Arial" w:hAnsi="Arial"/>
          <w:b/>
          <w:i w:val="0"/>
          <w:color w:val="414142"/>
          <w:sz w:val="34"/>
        </w:rPr>
        <w:t>Graha International GmbH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Herzogstandstr. 8 b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85540 Haar</w:t>
      </w:r>
    </w:p>
    <w:p>
      <w:pPr>
        <w:spacing w:after="8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Germany</w:t>
      </w:r>
    </w:p>
    <w:p>
      <w:pPr>
        <w:spacing w:after="80" w:before="280"/>
        <w:jc w:val="center"/>
      </w:pPr>
      <w:r>
        <w:rPr>
          <w:rFonts w:ascii="Arial" w:hAnsi="Arial"/>
          <w:b/>
          <w:i w:val="0"/>
          <w:color w:val="0087CA"/>
          <w:sz w:val="24"/>
        </w:rPr>
        <w:t>Contact</w:t>
      </w:r>
    </w:p>
    <w:p>
      <w:pPr>
        <w:spacing w:after="0" w:before="0"/>
        <w:jc w:val="center"/>
      </w:pPr>
      <w:r>
        <w:rPr>
          <w:rFonts w:ascii="Arial" w:hAnsi="Arial"/>
          <w:b w:val="0"/>
          <w:i w:val="0"/>
          <w:color w:val="414142"/>
          <w:sz w:val="24"/>
        </w:rPr>
        <w:t>E-Mail: info@graha.de</w:t>
      </w:r>
    </w:p>
    <w:sectPr w:rsidR="00FC693F" w:rsidRPr="0006063C" w:rsidSect="00034616">
      <w:headerReference w:type="default" r:id="rId9"/>
      <w:footerReference w:type="default" r:id="rId10"/>
      <w:pgSz w:w="16838" w:h="11906" w:orient="landscape"/>
      <w:pgMar w:top="907" w:right="1134" w:bottom="90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7285"/>
      <w:gridCol w:w="7285"/>
    </w:tblGrid>
    <w:tr>
      <w:tc>
        <w:tcPr>
          <w:tcW w:type="dxa" w:w="9638"/>
        </w:tcPr>
        <w:p>
          <w:r>
            <w:rPr>
              <w:rFonts w:ascii="Arial" w:hAnsi="Arial"/>
              <w:b w:val="0"/>
              <w:i w:val="0"/>
              <w:color w:val="5B6B78"/>
              <w:sz w:val="15"/>
            </w:rPr>
            <w:t>Graha International GmbH  ·  info@graha.de</w:t>
          </w:r>
        </w:p>
      </w:tc>
      <w:tc>
        <w:tcPr>
          <w:tcW w:type="dxa" w:w="4932"/>
        </w:tcPr>
        <w:p>
          <w:pPr>
            <w:jc w:val="right"/>
          </w:pPr>
          <w:r>
            <w:rPr>
              <w:rFonts w:ascii="Arial" w:hAnsi="Arial"/>
              <w:b w:val="0"/>
              <w:i w:val="0"/>
              <w:color w:val="5B6B78"/>
              <w:sz w:val="15"/>
            </w:rPr>
            <w:t xml:space="preserve">Page </w:t>
          </w:r>
          <w:r>
            <w:rPr>
              <w:rFonts w:ascii="Arial" w:hAnsi="Arial"/>
              <w:b w:val="0"/>
              <w:i w:val="0"/>
              <w:color w:val="5B6B78"/>
              <w:sz w:val="15"/>
            </w:rPr>
            <w:fldChar w:fldCharType="begin"/>
            <w:instrText xml:space="preserve">PAGE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fixed"/>
      <w:tblLook w:firstColumn="1" w:firstRow="1" w:lastColumn="0" w:lastRow="0" w:noHBand="0" w:noVBand="1" w:val="04A0"/>
      <w:tblBorders>
        <w:top w:val="nil"/>
        <w:left w:val="nil"/>
        <w:bottom w:val="nil"/>
        <w:right w:val="nil"/>
        <w:insideH w:val="nil"/>
        <w:insideV w:val="nil"/>
      </w:tblBorders>
    </w:tblPr>
    <w:tblGrid>
      <w:gridCol w:w="4857"/>
      <w:gridCol w:w="4857"/>
      <w:gridCol w:w="4857"/>
    </w:tblGrid>
    <w:tr>
      <w:tc>
        <w:tcPr>
          <w:tcW w:type="dxa" w:w="4819"/>
        </w:tcPr>
        <w:p>
          <w:pPr>
            <w:jc w:val="left"/>
          </w:pPr>
          <w:r>
            <w:rPr>
              <w:rFonts w:ascii="Arial" w:hAnsi="Arial"/>
              <w:b w:val="0"/>
              <w:i w:val="0"/>
              <w:color w:val="5B6B78"/>
              <w:sz w:val="17"/>
            </w:rPr>
            <w:t>Research Internship</w:t>
          </w:r>
        </w:p>
      </w:tc>
      <w:tc>
        <w:tcPr>
          <w:tcW w:type="dxa" w:w="4932"/>
        </w:tcPr>
        <w:p>
          <w:pPr>
            <w:jc w:val="center"/>
          </w:pPr>
          <w:r>
            <w:rPr>
              <w:rFonts w:ascii="Arial" w:hAnsi="Arial"/>
              <w:b/>
              <w:i w:val="0"/>
              <w:color w:val="414142"/>
              <w:sz w:val="18"/>
            </w:rPr>
            <w:t>Graha</w:t>
          </w:r>
          <w:r>
            <w:rPr>
              <w:rFonts w:ascii="Arial" w:hAnsi="Arial"/>
              <w:b w:val="0"/>
              <w:i w:val="0"/>
              <w:color w:val="5B6B78"/>
              <w:sz w:val="18"/>
            </w:rPr>
            <w:t xml:space="preserve"> International GmbH</w:t>
          </w:r>
        </w:p>
      </w:tc>
      <w:tc>
        <w:tcPr>
          <w:tcW w:type="dxa" w:w="4819"/>
        </w:tcPr>
        <w:p>
          <w:pPr>
            <w:jc w:val="right"/>
          </w:pPr>
          <w:r>
            <w:rPr>
              <w:rFonts w:ascii="Arial" w:hAnsi="Arial"/>
              <w:b w:val="0"/>
              <w:i w:val="0"/>
              <w:color w:val="5B6B78"/>
              <w:sz w:val="17"/>
            </w:rPr>
            <w:t>2026–2027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 Research, Internship Plan: ESG Platform with GraphRAG</dc:title>
  <dc:subject/>
  <dc:creator>Graha International GmbH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